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7"/>
          <w:szCs w:val="27"/>
          <w:bdr w:val="none" w:color="auto" w:sz="0" w:space="0"/>
          <w:shd w:val="clear" w:fill="FFFFFF"/>
        </w:rPr>
        <w:t>装备制造细分行业示范基地发展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　</w:t>
      </w: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汽车和轨道交通类基地，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发挥能源、物流、人才、市场资源优势，科学合理布局产业，加强产业链上下游的对接与合作，大力推进协同设计、模块化制造、定制化生产，不断提升轻量化材料、新能源、智能网联汽车及零部件、高速重载轨道交通装备系统等领域的核心技术水平，形成更加完善的创新体系和产业体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　</w:t>
      </w: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　船舶与海工类基地，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围绕船舶和海洋工程装备、船用设备和海洋工程装备关键系统及设备等，整合研发设计、总装制造、配套设备和原材料供应等多种资源，形成产业链条完善的协同创新平台。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航空航天类基地，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加强高水平航空航天产业研发机构建设，促进军用和民用技术双向转化。整合优势航空航天产业资源，延伸产业链，培育引领性强的航空航天龙头企业。大力推动形成通用航空机场、低空空域配套设施和运营保障体系，推动卫星资源应用和无人航空器应用产业发展，完善产业发展环境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　</w:t>
      </w: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　高端装备类基地，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以智能化、精密化、高端化为方向，专业化协作为基础，提升自主研发能力为核心，差异化发展为前提，通过产业、产品和组织结构的调整、资源的优化配置，建成以智能装备为主导，横向成群、纵向成链的产业集群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75B7A"/>
    <w:rsid w:val="61675B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2016-07-13T01:49:00Z</dcterms:created>
  <dc:creator>fanqiuci</dc:creator>
  <cp:lastModifiedBy>fanqiuci</cp:lastModifiedBy>
  <dcterms:modified xsi:type="dcterms:W3CDTF">2016-07-13T01:50:18Z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