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0"/>
          <w:szCs w:val="3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0"/>
          <w:szCs w:val="30"/>
          <w:shd w:val="clear" w:fill="FFFFFF"/>
        </w:rPr>
        <w:t>原材料细分行业示范基地发展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钢铁类基地：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提升绿色制造工艺和精益制造能力，降低能耗、物耗、水耗和污染排放水平，发挥龙头企业和行业协会的培育、引领、协调作用，拓宽行业应用领域及市场，支持企业积极开发新品种，提升产品性能一致性和质量稳定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有色金属类基地：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优化能源、资源要素配置，推进资源再生利用产业规范化、规模化发展，完善示范基地能源保障机制，实现绿色生产。以扩大有色金属应用为中心，着力发展精深加工和终端产品，构建具有竞争力的产业集群。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石化化工类基地：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优化布局，因地制宜，建立产业联系紧密、上下游原料产品互供、公共工程及相关配套辅助设施完善、物流和信息传输体系完备、专业特色鲜明的具有较强竞争力的产业链和产业集群。严格示范基地准入与退出机制，完善建设与管理标准，加强安全环保管理及应急体系建设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建材类基地：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重点发展绿色建材、建筑部品、无机非金属新材料、非金属矿物材料深加工等新兴产业，加强产品的品质安全、市场容量、销售半径等需求端的研究论证，大力发展研发、设计、产品集成、应用服务等生产性服务业，打造区域优势品牌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53B1E"/>
    <w:rsid w:val="41D53B1E"/>
    <w:rsid w:val="46EE03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2016-07-13T07:27:00Z</dcterms:created>
  <dc:creator>fanqiuci</dc:creator>
  <cp:lastModifiedBy>fanqiuci</cp:lastModifiedBy>
  <dcterms:modified xsi:type="dcterms:W3CDTF">2016-07-13T07:42:44Z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